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00" w:rsidRPr="00C97651" w:rsidRDefault="00C97651">
      <w:pPr>
        <w:rPr>
          <w:rFonts w:ascii="Arial" w:hAnsi="Arial" w:cs="Arial"/>
          <w:sz w:val="24"/>
          <w:szCs w:val="24"/>
        </w:rPr>
      </w:pPr>
      <w:r w:rsidRPr="00C97651">
        <w:rPr>
          <w:rFonts w:ascii="Arial" w:hAnsi="Arial" w:cs="Arial"/>
          <w:sz w:val="24"/>
          <w:szCs w:val="24"/>
        </w:rPr>
        <w:t> </w:t>
      </w:r>
    </w:p>
    <w:p w:rsidR="00C97651" w:rsidRPr="00C97651" w:rsidRDefault="00C97651">
      <w:pPr>
        <w:rPr>
          <w:rFonts w:ascii="Arial" w:hAnsi="Arial" w:cs="Arial"/>
          <w:sz w:val="24"/>
          <w:szCs w:val="24"/>
        </w:rPr>
      </w:pPr>
    </w:p>
    <w:p w:rsidR="00C97651" w:rsidRPr="00C97651" w:rsidRDefault="00C97651" w:rsidP="00C97651">
      <w:pPr>
        <w:jc w:val="center"/>
        <w:rPr>
          <w:rFonts w:ascii="Arial" w:hAnsi="Arial" w:cs="Arial"/>
          <w:b/>
          <w:iCs/>
          <w:color w:val="233A44"/>
          <w:sz w:val="24"/>
          <w:szCs w:val="24"/>
        </w:rPr>
      </w:pPr>
      <w:r w:rsidRPr="00C97651">
        <w:rPr>
          <w:rFonts w:ascii="Arial" w:hAnsi="Arial" w:cs="Arial"/>
          <w:b/>
          <w:iCs/>
          <w:color w:val="233A44"/>
          <w:sz w:val="24"/>
          <w:szCs w:val="24"/>
        </w:rPr>
        <w:t>Binder Organization</w:t>
      </w:r>
      <w:r>
        <w:rPr>
          <w:rFonts w:ascii="Arial" w:hAnsi="Arial" w:cs="Arial"/>
          <w:b/>
          <w:iCs/>
          <w:color w:val="233A44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iCs/>
          <w:color w:val="233A44"/>
          <w:sz w:val="24"/>
          <w:szCs w:val="24"/>
        </w:rPr>
        <w:t>Tolkiens</w:t>
      </w:r>
      <w:proofErr w:type="spellEnd"/>
      <w:r>
        <w:rPr>
          <w:rFonts w:ascii="Arial" w:hAnsi="Arial" w:cs="Arial"/>
          <w:b/>
          <w:iCs/>
          <w:color w:val="233A44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iCs/>
          <w:color w:val="233A44"/>
          <w:sz w:val="24"/>
          <w:szCs w:val="24"/>
        </w:rPr>
        <w:t>Shakespeares</w:t>
      </w:r>
      <w:proofErr w:type="spellEnd"/>
      <w:r>
        <w:rPr>
          <w:rFonts w:ascii="Arial" w:hAnsi="Arial" w:cs="Arial"/>
          <w:b/>
          <w:iCs/>
          <w:color w:val="233A44"/>
          <w:sz w:val="24"/>
          <w:szCs w:val="24"/>
        </w:rPr>
        <w:t>)</w:t>
      </w:r>
    </w:p>
    <w:p w:rsidR="00C97651" w:rsidRPr="00C97651" w:rsidRDefault="00C97651">
      <w:pPr>
        <w:rPr>
          <w:rFonts w:ascii="Arial" w:hAnsi="Arial" w:cs="Arial"/>
          <w:b/>
          <w:iCs/>
          <w:color w:val="233A44"/>
          <w:sz w:val="20"/>
          <w:szCs w:val="24"/>
        </w:rPr>
      </w:pPr>
      <w:r w:rsidRPr="00C97651">
        <w:rPr>
          <w:rFonts w:ascii="Arial" w:hAnsi="Arial" w:cs="Arial"/>
          <w:b/>
          <w:iCs/>
          <w:color w:val="233A44"/>
          <w:sz w:val="20"/>
          <w:szCs w:val="24"/>
        </w:rPr>
        <w:t>Reading Section</w:t>
      </w:r>
    </w:p>
    <w:p w:rsidR="00C97651" w:rsidRPr="00C97651" w:rsidRDefault="00C97651">
      <w:pPr>
        <w:rPr>
          <w:rFonts w:ascii="Arial" w:hAnsi="Arial" w:cs="Arial"/>
          <w:sz w:val="20"/>
          <w:szCs w:val="24"/>
        </w:rPr>
      </w:pPr>
      <w:r w:rsidRPr="00C97651">
        <w:rPr>
          <w:rFonts w:ascii="Arial" w:hAnsi="Arial" w:cs="Arial"/>
          <w:i/>
          <w:iCs/>
          <w:color w:val="233A44"/>
          <w:sz w:val="20"/>
          <w:szCs w:val="24"/>
        </w:rPr>
        <w:t xml:space="preserve">The Giver </w:t>
      </w:r>
      <w:r w:rsidRPr="00C97651">
        <w:rPr>
          <w:rFonts w:ascii="Arial" w:hAnsi="Arial" w:cs="Arial"/>
          <w:color w:val="233A44"/>
          <w:sz w:val="20"/>
          <w:szCs w:val="24"/>
        </w:rPr>
        <w:t>vocabulary packet</w:t>
      </w:r>
      <w:r w:rsidRPr="00C97651">
        <w:rPr>
          <w:rFonts w:ascii="Arial" w:hAnsi="Arial" w:cs="Arial"/>
          <w:color w:val="233A44"/>
          <w:sz w:val="20"/>
          <w:szCs w:val="24"/>
        </w:rPr>
        <w:br/>
        <w:t>Literature circles</w:t>
      </w:r>
      <w:r w:rsidRPr="00C97651">
        <w:rPr>
          <w:rFonts w:ascii="Arial" w:hAnsi="Arial" w:cs="Arial"/>
          <w:color w:val="233A44"/>
          <w:sz w:val="20"/>
          <w:szCs w:val="24"/>
        </w:rPr>
        <w:br/>
        <w:t>Symbolism worksheet</w:t>
      </w:r>
      <w:r w:rsidRPr="00C97651">
        <w:rPr>
          <w:rFonts w:ascii="Arial" w:hAnsi="Arial" w:cs="Arial"/>
          <w:color w:val="233A44"/>
          <w:sz w:val="20"/>
          <w:szCs w:val="24"/>
        </w:rPr>
        <w:br/>
        <w:t>Annotations guidelines</w:t>
      </w:r>
      <w:r w:rsidRPr="00C97651">
        <w:rPr>
          <w:rFonts w:ascii="Arial" w:hAnsi="Arial" w:cs="Arial"/>
          <w:color w:val="233A44"/>
          <w:sz w:val="20"/>
          <w:szCs w:val="24"/>
        </w:rPr>
        <w:br/>
        <w:t>Sign post notes</w:t>
      </w:r>
      <w:r w:rsidRPr="00C97651">
        <w:rPr>
          <w:rFonts w:ascii="Arial" w:hAnsi="Arial" w:cs="Arial"/>
          <w:color w:val="233A44"/>
          <w:sz w:val="20"/>
          <w:szCs w:val="24"/>
        </w:rPr>
        <w:br/>
        <w:t>Fiction/Nonfiction</w:t>
      </w:r>
      <w:r w:rsidRPr="00C97651">
        <w:rPr>
          <w:rFonts w:ascii="Arial" w:hAnsi="Arial" w:cs="Arial"/>
          <w:color w:val="233A44"/>
          <w:sz w:val="20"/>
          <w:szCs w:val="24"/>
        </w:rPr>
        <w:br/>
        <w:t>Connotation/denotation notes</w:t>
      </w:r>
      <w:r w:rsidRPr="00C97651">
        <w:rPr>
          <w:rFonts w:ascii="Arial" w:hAnsi="Arial" w:cs="Arial"/>
          <w:color w:val="233A44"/>
          <w:sz w:val="20"/>
          <w:szCs w:val="24"/>
        </w:rPr>
        <w:br/>
        <w:t>Connotation/denotation worksheet</w:t>
      </w:r>
      <w:r w:rsidRPr="00C97651">
        <w:rPr>
          <w:rFonts w:ascii="Arial" w:hAnsi="Arial" w:cs="Arial"/>
          <w:color w:val="233A44"/>
          <w:sz w:val="20"/>
          <w:szCs w:val="24"/>
        </w:rPr>
        <w:br/>
        <w:t>Symbolism in literature practice</w:t>
      </w:r>
      <w:r w:rsidRPr="00C97651">
        <w:rPr>
          <w:rFonts w:ascii="Arial" w:hAnsi="Arial" w:cs="Arial"/>
          <w:color w:val="233A44"/>
          <w:sz w:val="20"/>
          <w:szCs w:val="24"/>
        </w:rPr>
        <w:br/>
        <w:t>Textbook scavenger hunt</w:t>
      </w:r>
      <w:r w:rsidRPr="00C97651">
        <w:rPr>
          <w:rFonts w:ascii="Arial" w:hAnsi="Arial" w:cs="Arial"/>
          <w:color w:val="233A44"/>
          <w:sz w:val="20"/>
          <w:szCs w:val="24"/>
        </w:rPr>
        <w:br/>
      </w:r>
      <w:r w:rsidRPr="00C97651">
        <w:rPr>
          <w:rFonts w:ascii="Arial" w:hAnsi="Arial" w:cs="Arial"/>
          <w:i/>
          <w:iCs/>
          <w:color w:val="233A44"/>
          <w:sz w:val="20"/>
          <w:szCs w:val="24"/>
        </w:rPr>
        <w:t xml:space="preserve">The Giver </w:t>
      </w:r>
      <w:r w:rsidRPr="00C97651">
        <w:rPr>
          <w:rFonts w:ascii="Arial" w:hAnsi="Arial" w:cs="Arial"/>
          <w:color w:val="233A44"/>
          <w:sz w:val="20"/>
          <w:szCs w:val="24"/>
        </w:rPr>
        <w:t>class notes (genre, introduction, Lois Lowry</w:t>
      </w:r>
      <w:proofErr w:type="gramStart"/>
      <w:r w:rsidRPr="00C97651">
        <w:rPr>
          <w:rFonts w:ascii="Arial" w:hAnsi="Arial" w:cs="Arial"/>
          <w:color w:val="233A44"/>
          <w:sz w:val="20"/>
          <w:szCs w:val="24"/>
        </w:rPr>
        <w:t>)</w:t>
      </w:r>
      <w:proofErr w:type="gramEnd"/>
      <w:r w:rsidRPr="00C97651">
        <w:rPr>
          <w:rFonts w:ascii="Arial" w:hAnsi="Arial" w:cs="Arial"/>
          <w:color w:val="233A44"/>
          <w:sz w:val="20"/>
          <w:szCs w:val="24"/>
        </w:rPr>
        <w:br/>
        <w:t>Point of View notes</w:t>
      </w:r>
      <w:r w:rsidRPr="00C97651">
        <w:rPr>
          <w:rFonts w:ascii="Arial" w:hAnsi="Arial" w:cs="Arial"/>
          <w:color w:val="233A44"/>
          <w:sz w:val="20"/>
          <w:szCs w:val="24"/>
        </w:rPr>
        <w:br/>
        <w:t>Point of view handout</w:t>
      </w:r>
      <w:r w:rsidRPr="00C97651">
        <w:rPr>
          <w:rFonts w:ascii="Arial" w:hAnsi="Arial" w:cs="Arial"/>
          <w:color w:val="233A44"/>
          <w:sz w:val="20"/>
          <w:szCs w:val="24"/>
        </w:rPr>
        <w:br/>
        <w:t>Chapters 3-4 notes (</w:t>
      </w:r>
      <w:r w:rsidRPr="00C97651">
        <w:rPr>
          <w:rFonts w:ascii="Arial" w:hAnsi="Arial" w:cs="Arial"/>
          <w:i/>
          <w:iCs/>
          <w:color w:val="233A44"/>
          <w:sz w:val="20"/>
          <w:szCs w:val="24"/>
        </w:rPr>
        <w:t>The Giver</w:t>
      </w:r>
      <w:r w:rsidRPr="00C97651">
        <w:rPr>
          <w:rFonts w:ascii="Arial" w:hAnsi="Arial" w:cs="Arial"/>
          <w:color w:val="233A44"/>
          <w:sz w:val="20"/>
          <w:szCs w:val="24"/>
        </w:rPr>
        <w:t>)</w:t>
      </w:r>
      <w:r w:rsidRPr="00C97651">
        <w:rPr>
          <w:rFonts w:ascii="Arial" w:hAnsi="Arial" w:cs="Arial"/>
          <w:color w:val="233A44"/>
          <w:sz w:val="20"/>
          <w:szCs w:val="24"/>
        </w:rPr>
        <w:br/>
        <w:t>Figurative language notes</w:t>
      </w:r>
      <w:r w:rsidRPr="00C97651">
        <w:rPr>
          <w:rFonts w:ascii="Arial" w:hAnsi="Arial" w:cs="Arial"/>
          <w:color w:val="233A44"/>
          <w:sz w:val="20"/>
          <w:szCs w:val="24"/>
        </w:rPr>
        <w:br/>
        <w:t>Idioms worksheet</w:t>
      </w:r>
      <w:r w:rsidRPr="00C97651">
        <w:rPr>
          <w:rFonts w:ascii="Arial" w:hAnsi="Arial" w:cs="Arial"/>
          <w:color w:val="233A44"/>
          <w:sz w:val="20"/>
          <w:szCs w:val="24"/>
        </w:rPr>
        <w:br/>
        <w:t>House of the Old notes</w:t>
      </w:r>
      <w:r w:rsidRPr="00C97651">
        <w:rPr>
          <w:rFonts w:ascii="Arial" w:hAnsi="Arial" w:cs="Arial"/>
          <w:color w:val="233A44"/>
          <w:sz w:val="20"/>
          <w:szCs w:val="24"/>
        </w:rPr>
        <w:br/>
        <w:t>Plot notes and worksheet</w:t>
      </w:r>
    </w:p>
    <w:p w:rsidR="00C97651" w:rsidRPr="00C97651" w:rsidRDefault="00C97651" w:rsidP="00C97651">
      <w:pPr>
        <w:rPr>
          <w:rFonts w:ascii="Arial" w:hAnsi="Arial" w:cs="Arial"/>
          <w:b/>
          <w:sz w:val="20"/>
          <w:szCs w:val="24"/>
        </w:rPr>
      </w:pPr>
      <w:r w:rsidRPr="00C97651">
        <w:rPr>
          <w:rFonts w:ascii="Arial" w:hAnsi="Arial" w:cs="Arial"/>
          <w:b/>
          <w:sz w:val="20"/>
          <w:szCs w:val="24"/>
        </w:rPr>
        <w:t xml:space="preserve">Writing Section: </w:t>
      </w:r>
    </w:p>
    <w:p w:rsidR="00C97651" w:rsidRPr="00C97651" w:rsidRDefault="00C97651" w:rsidP="00C976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r w:rsidRPr="00C97651">
        <w:rPr>
          <w:rFonts w:ascii="Arial" w:eastAsia="Times New Roman" w:hAnsi="Arial" w:cs="Arial"/>
          <w:color w:val="233A44"/>
          <w:sz w:val="20"/>
          <w:szCs w:val="24"/>
        </w:rPr>
        <w:t>Persuasive writing worksheet</w:t>
      </w:r>
    </w:p>
    <w:p w:rsidR="00C97651" w:rsidRPr="00C97651" w:rsidRDefault="00C97651" w:rsidP="00C976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r w:rsidRPr="00C97651">
        <w:rPr>
          <w:rFonts w:ascii="Arial" w:eastAsia="Times New Roman" w:hAnsi="Arial" w:cs="Arial"/>
          <w:color w:val="233A44"/>
          <w:sz w:val="20"/>
          <w:szCs w:val="24"/>
        </w:rPr>
        <w:t>Writing an introduction to an essay notes</w:t>
      </w:r>
    </w:p>
    <w:p w:rsidR="00C97651" w:rsidRPr="00C97651" w:rsidRDefault="00C97651" w:rsidP="00C97651">
      <w:pPr>
        <w:numPr>
          <w:ilvl w:val="0"/>
          <w:numId w:val="1"/>
        </w:numPr>
        <w:spacing w:after="32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r w:rsidRPr="00C97651">
        <w:rPr>
          <w:rFonts w:ascii="Arial" w:eastAsia="Times New Roman" w:hAnsi="Arial" w:cs="Arial"/>
          <w:color w:val="233A44"/>
          <w:sz w:val="20"/>
          <w:szCs w:val="24"/>
        </w:rPr>
        <w:t>Writing a thesis statement</w:t>
      </w:r>
    </w:p>
    <w:p w:rsidR="00C97651" w:rsidRPr="00C97651" w:rsidRDefault="00C97651" w:rsidP="00C97651">
      <w:pPr>
        <w:numPr>
          <w:ilvl w:val="0"/>
          <w:numId w:val="1"/>
        </w:numPr>
        <w:spacing w:after="32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r w:rsidRPr="00C97651">
        <w:rPr>
          <w:rFonts w:ascii="Arial" w:eastAsia="Times New Roman" w:hAnsi="Arial" w:cs="Arial"/>
          <w:color w:val="233A44"/>
          <w:sz w:val="20"/>
          <w:szCs w:val="24"/>
        </w:rPr>
        <w:t>Introductory paragraphs worksheet</w:t>
      </w:r>
    </w:p>
    <w:p w:rsidR="00C97651" w:rsidRPr="00C97651" w:rsidRDefault="00C97651" w:rsidP="00C97651">
      <w:pPr>
        <w:spacing w:after="32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r w:rsidRPr="00C97651">
        <w:rPr>
          <w:rFonts w:ascii="Arial" w:eastAsia="Times New Roman" w:hAnsi="Arial" w:cs="Arial"/>
          <w:b/>
          <w:color w:val="233A44"/>
          <w:sz w:val="20"/>
          <w:szCs w:val="24"/>
        </w:rPr>
        <w:t xml:space="preserve">Grammar: </w:t>
      </w:r>
    </w:p>
    <w:p w:rsidR="00C97651" w:rsidRPr="00C97651" w:rsidRDefault="00C97651" w:rsidP="00C97651">
      <w:pPr>
        <w:pStyle w:val="ListParagraph"/>
        <w:numPr>
          <w:ilvl w:val="0"/>
          <w:numId w:val="3"/>
        </w:numPr>
        <w:spacing w:after="32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r w:rsidRPr="00C97651">
        <w:rPr>
          <w:rFonts w:ascii="Arial" w:eastAsia="Times New Roman" w:hAnsi="Arial" w:cs="Arial"/>
          <w:color w:val="233A44"/>
          <w:sz w:val="20"/>
          <w:szCs w:val="24"/>
        </w:rPr>
        <w:t xml:space="preserve">Capitalization Notes 1, 2, 3, 4, </w:t>
      </w:r>
      <w:r>
        <w:rPr>
          <w:rFonts w:ascii="Arial" w:eastAsia="Times New Roman" w:hAnsi="Arial" w:cs="Arial"/>
          <w:color w:val="233A44"/>
          <w:sz w:val="20"/>
          <w:szCs w:val="24"/>
        </w:rPr>
        <w:t>5</w:t>
      </w:r>
    </w:p>
    <w:p w:rsidR="00C97651" w:rsidRPr="00C97651" w:rsidRDefault="00C97651" w:rsidP="00C97651">
      <w:pPr>
        <w:rPr>
          <w:rFonts w:ascii="Arial" w:hAnsi="Arial" w:cs="Arial"/>
          <w:b/>
          <w:sz w:val="20"/>
          <w:szCs w:val="24"/>
        </w:rPr>
      </w:pPr>
      <w:r w:rsidRPr="00C97651">
        <w:rPr>
          <w:rFonts w:ascii="Arial" w:hAnsi="Arial" w:cs="Arial"/>
          <w:b/>
          <w:sz w:val="20"/>
          <w:szCs w:val="24"/>
        </w:rPr>
        <w:t xml:space="preserve">Test: </w:t>
      </w:r>
    </w:p>
    <w:p w:rsidR="00C97651" w:rsidRPr="00C97651" w:rsidRDefault="00C97651" w:rsidP="00C9765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proofErr w:type="spellStart"/>
      <w:r w:rsidRPr="00C97651">
        <w:rPr>
          <w:rFonts w:ascii="Arial" w:eastAsia="Times New Roman" w:hAnsi="Arial" w:cs="Arial"/>
          <w:color w:val="233A44"/>
          <w:sz w:val="20"/>
          <w:szCs w:val="24"/>
        </w:rPr>
        <w:t>Wordly</w:t>
      </w:r>
      <w:proofErr w:type="spellEnd"/>
      <w:r w:rsidRPr="00C97651">
        <w:rPr>
          <w:rFonts w:ascii="Arial" w:eastAsia="Times New Roman" w:hAnsi="Arial" w:cs="Arial"/>
          <w:color w:val="233A44"/>
          <w:sz w:val="20"/>
          <w:szCs w:val="24"/>
        </w:rPr>
        <w:t xml:space="preserve"> Wise vocabulary 1, 2, 3, 4</w:t>
      </w:r>
    </w:p>
    <w:p w:rsidR="00C97651" w:rsidRPr="00C97651" w:rsidRDefault="00C97651" w:rsidP="00C9765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proofErr w:type="spellStart"/>
      <w:r w:rsidRPr="00C97651">
        <w:rPr>
          <w:rFonts w:ascii="Arial" w:eastAsia="Times New Roman" w:hAnsi="Arial" w:cs="Arial"/>
          <w:color w:val="233A44"/>
          <w:sz w:val="20"/>
          <w:szCs w:val="24"/>
        </w:rPr>
        <w:t>Wordly</w:t>
      </w:r>
      <w:proofErr w:type="spellEnd"/>
      <w:r w:rsidRPr="00C97651">
        <w:rPr>
          <w:rFonts w:ascii="Arial" w:eastAsia="Times New Roman" w:hAnsi="Arial" w:cs="Arial"/>
          <w:color w:val="233A44"/>
          <w:sz w:val="20"/>
          <w:szCs w:val="24"/>
        </w:rPr>
        <w:t xml:space="preserve"> Wise spelling 1, 2, 3, 4</w:t>
      </w:r>
    </w:p>
    <w:p w:rsidR="00C97651" w:rsidRPr="00C97651" w:rsidRDefault="00C97651" w:rsidP="00C9765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r w:rsidRPr="00C97651">
        <w:rPr>
          <w:rFonts w:ascii="Arial" w:eastAsia="Times New Roman" w:hAnsi="Arial" w:cs="Arial"/>
          <w:color w:val="233A44"/>
          <w:sz w:val="20"/>
          <w:szCs w:val="24"/>
        </w:rPr>
        <w:t>Lois Lowry quiz</w:t>
      </w:r>
    </w:p>
    <w:p w:rsidR="00C97651" w:rsidRPr="00C97651" w:rsidRDefault="00C97651" w:rsidP="00C9765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33A44"/>
          <w:sz w:val="20"/>
          <w:szCs w:val="24"/>
        </w:rPr>
      </w:pPr>
      <w:r w:rsidRPr="00C97651">
        <w:rPr>
          <w:rFonts w:ascii="Arial" w:eastAsia="Times New Roman" w:hAnsi="Arial" w:cs="Arial"/>
          <w:i/>
          <w:iCs/>
          <w:color w:val="233A44"/>
          <w:sz w:val="20"/>
          <w:szCs w:val="24"/>
        </w:rPr>
        <w:t xml:space="preserve">The Giver </w:t>
      </w:r>
      <w:r w:rsidRPr="00C97651">
        <w:rPr>
          <w:rFonts w:ascii="Arial" w:eastAsia="Times New Roman" w:hAnsi="Arial" w:cs="Arial"/>
          <w:color w:val="233A44"/>
          <w:sz w:val="20"/>
          <w:szCs w:val="24"/>
        </w:rPr>
        <w:t>reading quiz 1-4 and 7-9</w:t>
      </w:r>
    </w:p>
    <w:p w:rsidR="00C97651" w:rsidRPr="00C97651" w:rsidRDefault="00C97651" w:rsidP="00C9765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r w:rsidRPr="00C97651">
        <w:rPr>
          <w:rFonts w:ascii="Arial" w:eastAsia="Times New Roman" w:hAnsi="Arial" w:cs="Arial"/>
          <w:color w:val="233A44"/>
          <w:sz w:val="20"/>
          <w:szCs w:val="24"/>
        </w:rPr>
        <w:t>Capitalization test</w:t>
      </w:r>
    </w:p>
    <w:p w:rsidR="00C97651" w:rsidRPr="00C97651" w:rsidRDefault="00C97651" w:rsidP="00C9765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r w:rsidRPr="00C97651">
        <w:rPr>
          <w:rFonts w:ascii="Arial" w:eastAsia="Times New Roman" w:hAnsi="Arial" w:cs="Arial"/>
          <w:color w:val="233A44"/>
          <w:sz w:val="20"/>
          <w:szCs w:val="24"/>
        </w:rPr>
        <w:t>Vocab 1-4 Test</w:t>
      </w:r>
    </w:p>
    <w:p w:rsidR="00C97651" w:rsidRPr="00C97651" w:rsidRDefault="00C97651" w:rsidP="00C9765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r w:rsidRPr="00C97651">
        <w:rPr>
          <w:rFonts w:ascii="Arial" w:eastAsia="Times New Roman" w:hAnsi="Arial" w:cs="Arial"/>
          <w:color w:val="233A44"/>
          <w:sz w:val="20"/>
          <w:szCs w:val="24"/>
        </w:rPr>
        <w:t>Corrections for anything</w:t>
      </w:r>
    </w:p>
    <w:p w:rsidR="00C97651" w:rsidRPr="00C97651" w:rsidRDefault="00C97651" w:rsidP="00C9765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r w:rsidRPr="00C97651">
        <w:rPr>
          <w:rFonts w:ascii="Arial" w:eastAsia="Times New Roman" w:hAnsi="Arial" w:cs="Arial"/>
          <w:color w:val="233A44"/>
          <w:sz w:val="20"/>
          <w:szCs w:val="24"/>
        </w:rPr>
        <w:t>Summer reading test</w:t>
      </w:r>
    </w:p>
    <w:p w:rsidR="00C97651" w:rsidRPr="00C97651" w:rsidRDefault="00C97651" w:rsidP="00C97651">
      <w:pPr>
        <w:numPr>
          <w:ilvl w:val="0"/>
          <w:numId w:val="2"/>
        </w:numPr>
        <w:spacing w:after="32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r w:rsidRPr="00C97651">
        <w:rPr>
          <w:rFonts w:ascii="Arial" w:eastAsia="Times New Roman" w:hAnsi="Arial" w:cs="Arial"/>
          <w:color w:val="233A44"/>
          <w:sz w:val="20"/>
          <w:szCs w:val="24"/>
        </w:rPr>
        <w:t>Study Skills</w:t>
      </w:r>
    </w:p>
    <w:p w:rsidR="00C97651" w:rsidRPr="00C97651" w:rsidRDefault="00C97651" w:rsidP="00C97651">
      <w:pPr>
        <w:rPr>
          <w:rFonts w:ascii="Arial" w:hAnsi="Arial" w:cs="Arial"/>
          <w:b/>
          <w:sz w:val="24"/>
          <w:szCs w:val="24"/>
        </w:rPr>
      </w:pPr>
    </w:p>
    <w:p w:rsidR="00C97651" w:rsidRDefault="00C97651" w:rsidP="00C97651">
      <w:pPr>
        <w:tabs>
          <w:tab w:val="left" w:pos="5865"/>
        </w:tabs>
      </w:pPr>
    </w:p>
    <w:p w:rsidR="00C97651" w:rsidRPr="00C97651" w:rsidRDefault="00C97651" w:rsidP="00C97651">
      <w:pPr>
        <w:jc w:val="center"/>
        <w:rPr>
          <w:rFonts w:ascii="Arial" w:hAnsi="Arial" w:cs="Arial"/>
          <w:b/>
          <w:iCs/>
          <w:color w:val="233A44"/>
          <w:sz w:val="24"/>
          <w:szCs w:val="24"/>
        </w:rPr>
      </w:pPr>
      <w:r w:rsidRPr="00C97651">
        <w:rPr>
          <w:rFonts w:ascii="Arial" w:hAnsi="Arial" w:cs="Arial"/>
          <w:b/>
          <w:iCs/>
          <w:color w:val="233A44"/>
          <w:sz w:val="24"/>
          <w:szCs w:val="24"/>
        </w:rPr>
        <w:t>Binder Organization</w:t>
      </w:r>
      <w:r>
        <w:rPr>
          <w:rFonts w:ascii="Arial" w:hAnsi="Arial" w:cs="Arial"/>
          <w:b/>
          <w:iCs/>
          <w:color w:val="233A44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iCs/>
          <w:color w:val="233A44"/>
          <w:sz w:val="24"/>
          <w:szCs w:val="24"/>
        </w:rPr>
        <w:t>Austens</w:t>
      </w:r>
      <w:proofErr w:type="spellEnd"/>
      <w:r>
        <w:rPr>
          <w:rFonts w:ascii="Arial" w:hAnsi="Arial" w:cs="Arial"/>
          <w:b/>
          <w:iCs/>
          <w:color w:val="233A44"/>
          <w:sz w:val="24"/>
          <w:szCs w:val="24"/>
        </w:rPr>
        <w:t>)</w:t>
      </w:r>
    </w:p>
    <w:p w:rsidR="00C97651" w:rsidRDefault="00C97651" w:rsidP="00C97651">
      <w:pPr>
        <w:tabs>
          <w:tab w:val="left" w:pos="5865"/>
        </w:tabs>
      </w:pPr>
    </w:p>
    <w:p w:rsidR="00C97651" w:rsidRDefault="00C97651" w:rsidP="00C97651">
      <w:pPr>
        <w:tabs>
          <w:tab w:val="left" w:pos="5865"/>
        </w:tabs>
        <w:rPr>
          <w:b/>
        </w:rPr>
      </w:pPr>
      <w:r w:rsidRPr="00C97651">
        <w:rPr>
          <w:b/>
        </w:rPr>
        <w:t xml:space="preserve">Reading: </w:t>
      </w:r>
    </w:p>
    <w:p w:rsidR="00C97651" w:rsidRPr="00C97651" w:rsidRDefault="00C97651" w:rsidP="00C97651">
      <w:pPr>
        <w:tabs>
          <w:tab w:val="left" w:pos="5865"/>
        </w:tabs>
      </w:pPr>
      <w:r>
        <w:rPr>
          <w:i/>
        </w:rPr>
        <w:t xml:space="preserve">Wonder </w:t>
      </w:r>
      <w:r>
        <w:t>packet</w:t>
      </w:r>
      <w:r>
        <w:br/>
        <w:t>Allusions worksheet</w:t>
      </w:r>
      <w:r>
        <w:br/>
        <w:t>Allusions notes</w:t>
      </w:r>
      <w:r>
        <w:br/>
        <w:t>Similes/metaphors worksheet</w:t>
      </w:r>
      <w:r>
        <w:br/>
        <w:t>Idioms worksheet</w:t>
      </w:r>
      <w:r>
        <w:rPr>
          <w:i/>
        </w:rPr>
        <w:br/>
        <w:t xml:space="preserve">Wonder </w:t>
      </w:r>
      <w:r>
        <w:t xml:space="preserve">vocabulary </w:t>
      </w:r>
      <w:r>
        <w:br/>
        <w:t>Point of view packet</w:t>
      </w:r>
      <w:r>
        <w:br/>
        <w:t>Point of view handout</w:t>
      </w:r>
      <w:r>
        <w:br/>
        <w:t>Point of view notes</w:t>
      </w:r>
      <w:r>
        <w:br/>
        <w:t>Fiction/nonfiction handout</w:t>
      </w:r>
      <w:r>
        <w:br/>
        <w:t xml:space="preserve">“How One Unkind Moment Gave Way to </w:t>
      </w:r>
      <w:r>
        <w:rPr>
          <w:i/>
        </w:rPr>
        <w:t>Wonder</w:t>
      </w:r>
      <w:r>
        <w:t>” Article</w:t>
      </w:r>
      <w:bookmarkStart w:id="0" w:name="_GoBack"/>
      <w:bookmarkEnd w:id="0"/>
    </w:p>
    <w:p w:rsidR="00C97651" w:rsidRPr="00C97651" w:rsidRDefault="00C97651" w:rsidP="00C97651">
      <w:pPr>
        <w:tabs>
          <w:tab w:val="left" w:pos="5865"/>
        </w:tabs>
        <w:rPr>
          <w:b/>
        </w:rPr>
      </w:pPr>
      <w:r w:rsidRPr="00C97651">
        <w:rPr>
          <w:b/>
        </w:rPr>
        <w:t>Writing:</w:t>
      </w:r>
    </w:p>
    <w:p w:rsidR="00C97651" w:rsidRPr="00C97651" w:rsidRDefault="00C97651" w:rsidP="00C97651">
      <w:pPr>
        <w:tabs>
          <w:tab w:val="left" w:pos="5865"/>
        </w:tabs>
        <w:rPr>
          <w:b/>
        </w:rPr>
      </w:pPr>
      <w:r w:rsidRPr="00C97651">
        <w:rPr>
          <w:b/>
        </w:rPr>
        <w:t>Grammar:</w:t>
      </w:r>
    </w:p>
    <w:p w:rsidR="00C97651" w:rsidRDefault="00C97651" w:rsidP="00C97651">
      <w:pPr>
        <w:tabs>
          <w:tab w:val="left" w:pos="5865"/>
        </w:tabs>
      </w:pPr>
      <w:r>
        <w:t>Capitalization Notes 1, 2, 3, 4, 5</w:t>
      </w:r>
    </w:p>
    <w:p w:rsidR="00C97651" w:rsidRDefault="00C97651" w:rsidP="00C97651">
      <w:pPr>
        <w:tabs>
          <w:tab w:val="left" w:pos="5865"/>
        </w:tabs>
        <w:rPr>
          <w:b/>
        </w:rPr>
      </w:pPr>
      <w:r>
        <w:rPr>
          <w:b/>
        </w:rPr>
        <w:t xml:space="preserve">Tests: </w:t>
      </w:r>
    </w:p>
    <w:p w:rsidR="00C97651" w:rsidRPr="00C97651" w:rsidRDefault="00C97651" w:rsidP="00C9765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proofErr w:type="spellStart"/>
      <w:r w:rsidRPr="00C97651">
        <w:rPr>
          <w:rFonts w:ascii="Arial" w:eastAsia="Times New Roman" w:hAnsi="Arial" w:cs="Arial"/>
          <w:color w:val="233A44"/>
          <w:sz w:val="20"/>
          <w:szCs w:val="24"/>
        </w:rPr>
        <w:t>Wordly</w:t>
      </w:r>
      <w:proofErr w:type="spellEnd"/>
      <w:r w:rsidRPr="00C97651">
        <w:rPr>
          <w:rFonts w:ascii="Arial" w:eastAsia="Times New Roman" w:hAnsi="Arial" w:cs="Arial"/>
          <w:color w:val="233A44"/>
          <w:sz w:val="20"/>
          <w:szCs w:val="24"/>
        </w:rPr>
        <w:t xml:space="preserve"> Wise vocabulary 1, 2, 3, 4</w:t>
      </w:r>
    </w:p>
    <w:p w:rsidR="00C97651" w:rsidRPr="00C97651" w:rsidRDefault="00C97651" w:rsidP="00C9765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proofErr w:type="spellStart"/>
      <w:r w:rsidRPr="00C97651">
        <w:rPr>
          <w:rFonts w:ascii="Arial" w:eastAsia="Times New Roman" w:hAnsi="Arial" w:cs="Arial"/>
          <w:color w:val="233A44"/>
          <w:sz w:val="20"/>
          <w:szCs w:val="24"/>
        </w:rPr>
        <w:t>Wordly</w:t>
      </w:r>
      <w:proofErr w:type="spellEnd"/>
      <w:r w:rsidRPr="00C97651">
        <w:rPr>
          <w:rFonts w:ascii="Arial" w:eastAsia="Times New Roman" w:hAnsi="Arial" w:cs="Arial"/>
          <w:color w:val="233A44"/>
          <w:sz w:val="20"/>
          <w:szCs w:val="24"/>
        </w:rPr>
        <w:t xml:space="preserve"> Wise spelling 1, 2, 3, 4</w:t>
      </w:r>
    </w:p>
    <w:p w:rsidR="00C97651" w:rsidRPr="00C97651" w:rsidRDefault="00C97651" w:rsidP="00C9765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r w:rsidRPr="00C97651">
        <w:rPr>
          <w:rFonts w:ascii="Arial" w:eastAsia="Times New Roman" w:hAnsi="Arial" w:cs="Arial"/>
          <w:color w:val="233A44"/>
          <w:sz w:val="20"/>
          <w:szCs w:val="24"/>
        </w:rPr>
        <w:t>Capitalization test</w:t>
      </w:r>
    </w:p>
    <w:p w:rsidR="00C97651" w:rsidRDefault="00C97651" w:rsidP="00C9765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r w:rsidRPr="00C97651">
        <w:rPr>
          <w:rFonts w:ascii="Arial" w:eastAsia="Times New Roman" w:hAnsi="Arial" w:cs="Arial"/>
          <w:color w:val="233A44"/>
          <w:sz w:val="20"/>
          <w:szCs w:val="24"/>
        </w:rPr>
        <w:t>Vocab 1-4 Test</w:t>
      </w:r>
    </w:p>
    <w:p w:rsidR="00C97651" w:rsidRPr="00C97651" w:rsidRDefault="00C97651" w:rsidP="00C9765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r>
        <w:rPr>
          <w:rFonts w:ascii="Arial" w:eastAsia="Times New Roman" w:hAnsi="Arial" w:cs="Arial"/>
          <w:i/>
          <w:color w:val="233A44"/>
          <w:sz w:val="20"/>
          <w:szCs w:val="24"/>
        </w:rPr>
        <w:t xml:space="preserve">Wonder </w:t>
      </w:r>
      <w:r>
        <w:rPr>
          <w:rFonts w:ascii="Arial" w:eastAsia="Times New Roman" w:hAnsi="Arial" w:cs="Arial"/>
          <w:color w:val="233A44"/>
          <w:sz w:val="20"/>
          <w:szCs w:val="24"/>
        </w:rPr>
        <w:t>quiz 1</w:t>
      </w:r>
    </w:p>
    <w:p w:rsidR="00C97651" w:rsidRPr="00C97651" w:rsidRDefault="00C97651" w:rsidP="00C9765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r w:rsidRPr="00C97651">
        <w:rPr>
          <w:rFonts w:ascii="Arial" w:eastAsia="Times New Roman" w:hAnsi="Arial" w:cs="Arial"/>
          <w:color w:val="233A44"/>
          <w:sz w:val="20"/>
          <w:szCs w:val="24"/>
        </w:rPr>
        <w:t>Corrections for anything</w:t>
      </w:r>
    </w:p>
    <w:p w:rsidR="00C97651" w:rsidRPr="00C97651" w:rsidRDefault="00C97651" w:rsidP="00C9765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r w:rsidRPr="00C97651">
        <w:rPr>
          <w:rFonts w:ascii="Arial" w:eastAsia="Times New Roman" w:hAnsi="Arial" w:cs="Arial"/>
          <w:color w:val="233A44"/>
          <w:sz w:val="20"/>
          <w:szCs w:val="24"/>
        </w:rPr>
        <w:t>Summer reading test</w:t>
      </w:r>
    </w:p>
    <w:p w:rsidR="00C97651" w:rsidRDefault="00C97651" w:rsidP="00C97651">
      <w:pPr>
        <w:numPr>
          <w:ilvl w:val="0"/>
          <w:numId w:val="2"/>
        </w:numPr>
        <w:spacing w:after="320" w:line="240" w:lineRule="auto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  <w:r w:rsidRPr="00C97651">
        <w:rPr>
          <w:rFonts w:ascii="Arial" w:eastAsia="Times New Roman" w:hAnsi="Arial" w:cs="Arial"/>
          <w:color w:val="233A44"/>
          <w:sz w:val="20"/>
          <w:szCs w:val="24"/>
        </w:rPr>
        <w:t>Study Skills</w:t>
      </w:r>
    </w:p>
    <w:p w:rsidR="00C97651" w:rsidRPr="00C97651" w:rsidRDefault="00C97651" w:rsidP="00C97651">
      <w:pPr>
        <w:spacing w:after="320" w:line="240" w:lineRule="auto"/>
        <w:ind w:left="720"/>
        <w:textAlignment w:val="baseline"/>
        <w:rPr>
          <w:rFonts w:ascii="Arial" w:eastAsia="Times New Roman" w:hAnsi="Arial" w:cs="Arial"/>
          <w:color w:val="233A44"/>
          <w:sz w:val="20"/>
          <w:szCs w:val="24"/>
        </w:rPr>
      </w:pPr>
    </w:p>
    <w:p w:rsidR="00C97651" w:rsidRPr="00C97651" w:rsidRDefault="00C97651" w:rsidP="00C97651">
      <w:pPr>
        <w:tabs>
          <w:tab w:val="left" w:pos="5865"/>
        </w:tabs>
        <w:rPr>
          <w:b/>
        </w:rPr>
      </w:pPr>
    </w:p>
    <w:sectPr w:rsidR="00C97651" w:rsidRPr="00C9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F11E4"/>
    <w:multiLevelType w:val="multilevel"/>
    <w:tmpl w:val="2BB6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052B3"/>
    <w:multiLevelType w:val="multilevel"/>
    <w:tmpl w:val="2BB6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67796C"/>
    <w:multiLevelType w:val="multilevel"/>
    <w:tmpl w:val="0FDA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51"/>
    <w:rsid w:val="00105406"/>
    <w:rsid w:val="00302500"/>
    <w:rsid w:val="00C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FF397-B844-4B0A-A2F9-5068B362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Finch</dc:creator>
  <cp:keywords/>
  <dc:description/>
  <cp:lastModifiedBy>Alexandra Finch</cp:lastModifiedBy>
  <cp:revision>1</cp:revision>
  <cp:lastPrinted>2017-10-25T13:31:00Z</cp:lastPrinted>
  <dcterms:created xsi:type="dcterms:W3CDTF">2017-10-25T12:51:00Z</dcterms:created>
  <dcterms:modified xsi:type="dcterms:W3CDTF">2017-10-25T13:32:00Z</dcterms:modified>
</cp:coreProperties>
</file>